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6CC266" w14:textId="2E973646" w:rsidR="000A348E" w:rsidRDefault="007C28AA" w:rsidP="007C28AA">
      <w:pPr>
        <w:jc w:val="center"/>
        <w:rPr>
          <w:rFonts w:ascii="Baskerville Old Face" w:hAnsi="Baskerville Old Face"/>
          <w:b/>
          <w:sz w:val="72"/>
          <w:szCs w:val="72"/>
          <w:u w:val="single"/>
        </w:rPr>
      </w:pPr>
      <w:r w:rsidRPr="007C28AA">
        <w:rPr>
          <w:rFonts w:ascii="Baskerville Old Face" w:hAnsi="Baskerville Old Face"/>
          <w:b/>
          <w:noProof/>
          <w:sz w:val="72"/>
          <w:szCs w:val="72"/>
          <w:u w:val="single"/>
          <w:lang w:eastAsia="en-GB"/>
        </w:rPr>
        <w:drawing>
          <wp:anchor distT="0" distB="0" distL="114300" distR="114300" simplePos="0" relativeHeight="251658240" behindDoc="0" locked="0" layoutInCell="1" allowOverlap="1" wp14:anchorId="22F9A72F" wp14:editId="5E8F6846">
            <wp:simplePos x="0" y="0"/>
            <wp:positionH relativeFrom="margin">
              <wp:align>left</wp:align>
            </wp:positionH>
            <wp:positionV relativeFrom="paragraph">
              <wp:posOffset>244</wp:posOffset>
            </wp:positionV>
            <wp:extent cx="1499870" cy="1499870"/>
            <wp:effectExtent l="0" t="0" r="5080" b="5080"/>
            <wp:wrapThrough wrapText="bothSides">
              <wp:wrapPolygon edited="0">
                <wp:start x="0" y="0"/>
                <wp:lineTo x="0" y="21399"/>
                <wp:lineTo x="21399" y="21399"/>
                <wp:lineTo x="21399"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99870" cy="1499870"/>
                    </a:xfrm>
                    <a:prstGeom prst="rect">
                      <a:avLst/>
                    </a:prstGeom>
                    <a:noFill/>
                  </pic:spPr>
                </pic:pic>
              </a:graphicData>
            </a:graphic>
            <wp14:sizeRelH relativeFrom="page">
              <wp14:pctWidth>0</wp14:pctWidth>
            </wp14:sizeRelH>
            <wp14:sizeRelV relativeFrom="page">
              <wp14:pctHeight>0</wp14:pctHeight>
            </wp14:sizeRelV>
          </wp:anchor>
        </w:drawing>
      </w:r>
      <w:r w:rsidRPr="007C28AA">
        <w:rPr>
          <w:rFonts w:ascii="Baskerville Old Face" w:hAnsi="Baskerville Old Face"/>
          <w:b/>
          <w:sz w:val="72"/>
          <w:szCs w:val="72"/>
          <w:u w:val="single"/>
        </w:rPr>
        <w:t xml:space="preserve">Equality and </w:t>
      </w:r>
      <w:r w:rsidR="00DD1B72">
        <w:rPr>
          <w:rFonts w:ascii="Baskerville Old Face" w:hAnsi="Baskerville Old Face"/>
          <w:b/>
          <w:sz w:val="72"/>
          <w:szCs w:val="72"/>
          <w:u w:val="single"/>
        </w:rPr>
        <w:t>H</w:t>
      </w:r>
      <w:r w:rsidRPr="007C28AA">
        <w:rPr>
          <w:rFonts w:ascii="Baskerville Old Face" w:hAnsi="Baskerville Old Face"/>
          <w:b/>
          <w:sz w:val="72"/>
          <w:szCs w:val="72"/>
          <w:u w:val="single"/>
        </w:rPr>
        <w:t xml:space="preserve">uman </w:t>
      </w:r>
      <w:r w:rsidR="00DD1B72">
        <w:rPr>
          <w:rFonts w:ascii="Baskerville Old Face" w:hAnsi="Baskerville Old Face"/>
          <w:b/>
          <w:sz w:val="72"/>
          <w:szCs w:val="72"/>
          <w:u w:val="single"/>
        </w:rPr>
        <w:t>R</w:t>
      </w:r>
      <w:r w:rsidRPr="007C28AA">
        <w:rPr>
          <w:rFonts w:ascii="Baskerville Old Face" w:hAnsi="Baskerville Old Face"/>
          <w:b/>
          <w:sz w:val="72"/>
          <w:szCs w:val="72"/>
          <w:u w:val="single"/>
        </w:rPr>
        <w:t xml:space="preserve">ights </w:t>
      </w:r>
      <w:r w:rsidR="00DD1B72">
        <w:rPr>
          <w:rFonts w:ascii="Baskerville Old Face" w:hAnsi="Baskerville Old Face"/>
          <w:b/>
          <w:sz w:val="72"/>
          <w:szCs w:val="72"/>
          <w:u w:val="single"/>
        </w:rPr>
        <w:t>C</w:t>
      </w:r>
      <w:r w:rsidRPr="007C28AA">
        <w:rPr>
          <w:rFonts w:ascii="Baskerville Old Face" w:hAnsi="Baskerville Old Face"/>
          <w:b/>
          <w:sz w:val="72"/>
          <w:szCs w:val="72"/>
          <w:u w:val="single"/>
        </w:rPr>
        <w:t>ommission.</w:t>
      </w:r>
    </w:p>
    <w:p w14:paraId="766AA8E1" w14:textId="77777777" w:rsidR="004170B0" w:rsidRPr="00DA7E88" w:rsidRDefault="007C28AA" w:rsidP="004170B0">
      <w:pPr>
        <w:jc w:val="center"/>
        <w:rPr>
          <w:rFonts w:ascii="Blackadder ITC" w:hAnsi="Blackadder ITC"/>
          <w:color w:val="0070C0"/>
          <w:sz w:val="40"/>
          <w:szCs w:val="40"/>
        </w:rPr>
      </w:pPr>
      <w:r w:rsidRPr="00DA7E88">
        <w:rPr>
          <w:rFonts w:ascii="Blackadder ITC" w:hAnsi="Blackadder ITC"/>
          <w:color w:val="0070C0"/>
          <w:sz w:val="40"/>
          <w:szCs w:val="40"/>
        </w:rPr>
        <w:t>Monthly newsletter by Saint Helena Equality and Human Rights Commission.</w:t>
      </w:r>
    </w:p>
    <w:p w14:paraId="29FA32EB" w14:textId="77777777" w:rsidR="00DD1B72" w:rsidRDefault="004170B0" w:rsidP="00DD1B72">
      <w:pPr>
        <w:rPr>
          <w:rFonts w:ascii="Bahnschrift SemiBold Condensed" w:hAnsi="Bahnschrift SemiBold Condensed" w:cstheme="majorHAnsi"/>
          <w:sz w:val="56"/>
          <w:szCs w:val="56"/>
        </w:rPr>
      </w:pPr>
      <w:r>
        <w:rPr>
          <w:rFonts w:asciiTheme="majorHAnsi" w:hAnsiTheme="majorHAnsi" w:cstheme="majorHAnsi"/>
          <w:noProof/>
          <w:sz w:val="28"/>
          <w:szCs w:val="28"/>
          <w:lang w:eastAsia="en-GB"/>
        </w:rPr>
        <w:drawing>
          <wp:anchor distT="0" distB="0" distL="114300" distR="114300" simplePos="0" relativeHeight="251659264" behindDoc="0" locked="0" layoutInCell="1" allowOverlap="1" wp14:anchorId="3EA03A18" wp14:editId="23E17D71">
            <wp:simplePos x="0" y="0"/>
            <wp:positionH relativeFrom="page">
              <wp:posOffset>923713</wp:posOffset>
            </wp:positionH>
            <wp:positionV relativeFrom="paragraph">
              <wp:posOffset>12841</wp:posOffset>
            </wp:positionV>
            <wp:extent cx="2143125" cy="2143125"/>
            <wp:effectExtent l="0" t="0" r="9525" b="9525"/>
            <wp:wrapThrough wrapText="bothSides">
              <wp:wrapPolygon edited="0">
                <wp:start x="0" y="0"/>
                <wp:lineTo x="0" y="21504"/>
                <wp:lineTo x="21504" y="21504"/>
                <wp:lineTo x="21504"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0 dec.jpg"/>
                    <pic:cNvPicPr/>
                  </pic:nvPicPr>
                  <pic:blipFill>
                    <a:blip r:embed="rId5">
                      <a:extLst>
                        <a:ext uri="{28A0092B-C50C-407E-A947-70E740481C1C}">
                          <a14:useLocalDpi xmlns:a14="http://schemas.microsoft.com/office/drawing/2010/main" val="0"/>
                        </a:ext>
                      </a:extLst>
                    </a:blip>
                    <a:stretch>
                      <a:fillRect/>
                    </a:stretch>
                  </pic:blipFill>
                  <pic:spPr>
                    <a:xfrm>
                      <a:off x="0" y="0"/>
                      <a:ext cx="2143125" cy="2143125"/>
                    </a:xfrm>
                    <a:prstGeom prst="rect">
                      <a:avLst/>
                    </a:prstGeom>
                  </pic:spPr>
                </pic:pic>
              </a:graphicData>
            </a:graphic>
            <wp14:sizeRelH relativeFrom="page">
              <wp14:pctWidth>0</wp14:pctWidth>
            </wp14:sizeRelH>
            <wp14:sizeRelV relativeFrom="page">
              <wp14:pctHeight>0</wp14:pctHeight>
            </wp14:sizeRelV>
          </wp:anchor>
        </w:drawing>
      </w:r>
      <w:r w:rsidR="007C28AA" w:rsidRPr="00DF5206">
        <w:rPr>
          <w:rFonts w:ascii="Bahnschrift SemiBold Condensed" w:hAnsi="Bahnschrift SemiBold Condensed" w:cstheme="majorHAnsi"/>
          <w:sz w:val="56"/>
          <w:szCs w:val="56"/>
        </w:rPr>
        <w:t>Human Rights Day</w:t>
      </w:r>
    </w:p>
    <w:p w14:paraId="793BFC54" w14:textId="3AC81C80" w:rsidR="00DF5206" w:rsidRPr="00DD1B72" w:rsidRDefault="00DF5206" w:rsidP="00DD1B72">
      <w:pPr>
        <w:rPr>
          <w:rFonts w:ascii="Bahnschrift SemiBold Condensed" w:hAnsi="Bahnschrift SemiBold Condensed" w:cstheme="majorHAnsi"/>
          <w:sz w:val="52"/>
          <w:szCs w:val="52"/>
        </w:rPr>
      </w:pPr>
      <w:r w:rsidRPr="00DD1B72">
        <w:rPr>
          <w:rFonts w:cstheme="minorHAnsi"/>
          <w:color w:val="202122"/>
          <w:sz w:val="24"/>
          <w:szCs w:val="24"/>
        </w:rPr>
        <w:t>is celebrated annually around the world on 10 December every year.</w:t>
      </w:r>
    </w:p>
    <w:p w14:paraId="366D5D6D" w14:textId="220F16D3" w:rsidR="00DA7E88" w:rsidRPr="00DD1B72" w:rsidRDefault="00DF5206" w:rsidP="00DA7E88">
      <w:pPr>
        <w:keepNext/>
        <w:rPr>
          <w:rFonts w:cstheme="minorHAnsi"/>
          <w:color w:val="202122"/>
          <w:sz w:val="24"/>
          <w:szCs w:val="24"/>
        </w:rPr>
      </w:pPr>
      <w:r w:rsidRPr="00DD1B72">
        <w:rPr>
          <w:rFonts w:cstheme="minorHAnsi"/>
          <w:color w:val="202122"/>
          <w:sz w:val="24"/>
          <w:szCs w:val="24"/>
        </w:rPr>
        <w:t xml:space="preserve">The date was chosen to honour the United Nations General assembly’s adoption and proclamation, on 10 December 1948, of the Universal Declaration of human right, the first global </w:t>
      </w:r>
      <w:r w:rsidR="00DA7E88" w:rsidRPr="00DD1B72">
        <w:rPr>
          <w:rFonts w:cstheme="minorHAnsi"/>
          <w:color w:val="202122"/>
          <w:sz w:val="24"/>
          <w:szCs w:val="24"/>
        </w:rPr>
        <w:t>statement</w:t>
      </w:r>
      <w:r w:rsidRPr="00DD1B72">
        <w:rPr>
          <w:rFonts w:cstheme="minorHAnsi"/>
          <w:color w:val="202122"/>
          <w:sz w:val="24"/>
          <w:szCs w:val="24"/>
        </w:rPr>
        <w:t xml:space="preserve"> of human rights and one of the first major achievements of the new United Nations. </w:t>
      </w:r>
    </w:p>
    <w:p w14:paraId="2E158907" w14:textId="0D8A8988" w:rsidR="00DA7E88" w:rsidRPr="00DA7E88" w:rsidRDefault="00DA7E88" w:rsidP="00DA7E88">
      <w:pPr>
        <w:keepNext/>
        <w:rPr>
          <w:rFonts w:cstheme="minorHAnsi"/>
          <w:color w:val="202122"/>
          <w:sz w:val="24"/>
          <w:szCs w:val="24"/>
        </w:rPr>
      </w:pPr>
      <w:r w:rsidRPr="00DD1B72">
        <w:rPr>
          <w:rFonts w:cstheme="minorHAnsi"/>
          <w:color w:val="202122"/>
          <w:sz w:val="24"/>
          <w:szCs w:val="24"/>
        </w:rPr>
        <w:t>T</w:t>
      </w:r>
      <w:r w:rsidRPr="00DA7E88">
        <w:rPr>
          <w:rFonts w:cstheme="minorHAnsi"/>
          <w:color w:val="202122"/>
          <w:sz w:val="24"/>
          <w:szCs w:val="24"/>
        </w:rPr>
        <w:t>he 75th anniversary of the Universal Declaration of Human Rights will be celebrated on 10 December 2023. Ahead of this milestone, starting on this year's Human Rights Day on 10</w:t>
      </w:r>
      <w:r w:rsidRPr="00DD1B72">
        <w:rPr>
          <w:rFonts w:cstheme="minorHAnsi"/>
          <w:color w:val="202122"/>
          <w:sz w:val="24"/>
          <w:szCs w:val="24"/>
          <w:vertAlign w:val="superscript"/>
        </w:rPr>
        <w:t>th</w:t>
      </w:r>
      <w:r w:rsidRPr="00DD1B72">
        <w:rPr>
          <w:rFonts w:cstheme="minorHAnsi"/>
          <w:color w:val="202122"/>
          <w:sz w:val="24"/>
          <w:szCs w:val="24"/>
        </w:rPr>
        <w:t xml:space="preserve"> </w:t>
      </w:r>
      <w:r w:rsidRPr="00DA7E88">
        <w:rPr>
          <w:rFonts w:cstheme="minorHAnsi"/>
          <w:color w:val="202122"/>
          <w:sz w:val="24"/>
          <w:szCs w:val="24"/>
        </w:rPr>
        <w:t xml:space="preserve">December 2022, </w:t>
      </w:r>
      <w:r w:rsidR="00DD1B72" w:rsidRPr="00DD1B72">
        <w:rPr>
          <w:rFonts w:cstheme="minorHAnsi"/>
          <w:color w:val="202122"/>
          <w:sz w:val="24"/>
          <w:szCs w:val="24"/>
        </w:rPr>
        <w:t>t</w:t>
      </w:r>
      <w:r w:rsidRPr="00DD1B72">
        <w:rPr>
          <w:rFonts w:cstheme="minorHAnsi"/>
          <w:color w:val="202122"/>
          <w:sz w:val="24"/>
          <w:szCs w:val="24"/>
        </w:rPr>
        <w:t>he EHRC will</w:t>
      </w:r>
      <w:r w:rsidRPr="00DA7E88">
        <w:rPr>
          <w:rFonts w:cstheme="minorHAnsi"/>
          <w:color w:val="202122"/>
          <w:sz w:val="24"/>
          <w:szCs w:val="24"/>
        </w:rPr>
        <w:t xml:space="preserve"> </w:t>
      </w:r>
      <w:r w:rsidR="00DD1B72" w:rsidRPr="00DD1B72">
        <w:rPr>
          <w:rFonts w:cstheme="minorHAnsi"/>
          <w:color w:val="202122"/>
          <w:sz w:val="24"/>
          <w:szCs w:val="24"/>
        </w:rPr>
        <w:t>support the UN by</w:t>
      </w:r>
      <w:r w:rsidRPr="00DA7E88">
        <w:rPr>
          <w:rFonts w:cstheme="minorHAnsi"/>
          <w:color w:val="202122"/>
          <w:sz w:val="24"/>
          <w:szCs w:val="24"/>
        </w:rPr>
        <w:t xml:space="preserve"> launch</w:t>
      </w:r>
      <w:r w:rsidR="00DD1B72" w:rsidRPr="00DD1B72">
        <w:rPr>
          <w:rFonts w:cstheme="minorHAnsi"/>
          <w:color w:val="202122"/>
          <w:sz w:val="24"/>
          <w:szCs w:val="24"/>
        </w:rPr>
        <w:t>ing</w:t>
      </w:r>
      <w:r w:rsidRPr="00DA7E88">
        <w:rPr>
          <w:rFonts w:cstheme="minorHAnsi"/>
          <w:color w:val="202122"/>
          <w:sz w:val="24"/>
          <w:szCs w:val="24"/>
        </w:rPr>
        <w:t xml:space="preserve"> a year-long campaign to showcase the UDHR by focusing on its legacy, </w:t>
      </w:r>
      <w:proofErr w:type="gramStart"/>
      <w:r w:rsidRPr="00DA7E88">
        <w:rPr>
          <w:rFonts w:cstheme="minorHAnsi"/>
          <w:color w:val="202122"/>
          <w:sz w:val="24"/>
          <w:szCs w:val="24"/>
        </w:rPr>
        <w:t>relevance</w:t>
      </w:r>
      <w:proofErr w:type="gramEnd"/>
      <w:r w:rsidRPr="00DA7E88">
        <w:rPr>
          <w:rFonts w:cstheme="minorHAnsi"/>
          <w:color w:val="202122"/>
          <w:sz w:val="24"/>
          <w:szCs w:val="24"/>
        </w:rPr>
        <w:t xml:space="preserve"> and activism.</w:t>
      </w:r>
    </w:p>
    <w:p w14:paraId="0B369BA7" w14:textId="5DF18E6C" w:rsidR="00DA7E88" w:rsidRPr="00DA7E88" w:rsidRDefault="00DA7E88" w:rsidP="00DA7E88">
      <w:pPr>
        <w:keepNext/>
        <w:rPr>
          <w:rFonts w:cstheme="minorHAnsi"/>
          <w:color w:val="202122"/>
          <w:sz w:val="24"/>
          <w:szCs w:val="24"/>
        </w:rPr>
      </w:pPr>
      <w:r w:rsidRPr="00DA7E88">
        <w:rPr>
          <w:rFonts w:cstheme="minorHAnsi"/>
          <w:color w:val="202122"/>
          <w:sz w:val="24"/>
          <w:szCs w:val="24"/>
        </w:rPr>
        <w:t xml:space="preserve">In the decades since the adoption of the Universal Declaration of Human Rights, human rights have become more recognised and more guaranteed across the globe. It has since served as the foundation for an expanding system of human rights protection that today focuses also on vulnerable groups such as persons with disabilities, </w:t>
      </w:r>
      <w:r w:rsidR="00DD1B72" w:rsidRPr="00DD1B72">
        <w:rPr>
          <w:rFonts w:cstheme="minorHAnsi"/>
          <w:color w:val="202122"/>
          <w:sz w:val="24"/>
          <w:szCs w:val="24"/>
        </w:rPr>
        <w:t>women, LGBTQ+</w:t>
      </w:r>
      <w:r w:rsidRPr="00DA7E88">
        <w:rPr>
          <w:rFonts w:cstheme="minorHAnsi"/>
          <w:color w:val="202122"/>
          <w:sz w:val="24"/>
          <w:szCs w:val="24"/>
        </w:rPr>
        <w:t xml:space="preserve"> and migrants.</w:t>
      </w:r>
    </w:p>
    <w:p w14:paraId="2DCDAC0E" w14:textId="77777777" w:rsidR="00DD1B72" w:rsidRDefault="00DA7E88" w:rsidP="00DD1B72">
      <w:pPr>
        <w:widowControl w:val="0"/>
        <w:spacing w:after="0"/>
        <w:rPr>
          <w:rFonts w:cstheme="minorHAnsi"/>
          <w:color w:val="202122"/>
          <w:sz w:val="24"/>
          <w:szCs w:val="24"/>
        </w:rPr>
      </w:pPr>
      <w:r w:rsidRPr="00DA7E88">
        <w:rPr>
          <w:rFonts w:cstheme="minorHAnsi"/>
          <w:color w:val="202122"/>
          <w:sz w:val="24"/>
          <w:szCs w:val="24"/>
        </w:rPr>
        <w:t xml:space="preserve">However, the promise of the UDHR, of dignity and equality in rights, has been under a sustained assault in recent years. As the world faces challenges new and ongoing – pandemics, conflicts, exploding inequalities, morally bankrupt global financial system, racism, climate change – the values, and rights </w:t>
      </w:r>
      <w:r w:rsidR="00DD1B72">
        <w:rPr>
          <w:rFonts w:cstheme="minorHAnsi"/>
          <w:color w:val="202122"/>
          <w:sz w:val="24"/>
          <w:szCs w:val="24"/>
        </w:rPr>
        <w:t>e</w:t>
      </w:r>
      <w:r w:rsidRPr="00DA7E88">
        <w:rPr>
          <w:rFonts w:cstheme="minorHAnsi"/>
          <w:color w:val="202122"/>
          <w:sz w:val="24"/>
          <w:szCs w:val="24"/>
        </w:rPr>
        <w:t>nshrined in the UDHR provide guideposts for our actions that do not leave anyone behind.</w:t>
      </w:r>
    </w:p>
    <w:p w14:paraId="52A399C7" w14:textId="333C5D22" w:rsidR="00DA7E88" w:rsidRPr="00DA7E88" w:rsidRDefault="00DA7E88" w:rsidP="00DD1B72">
      <w:pPr>
        <w:widowControl w:val="0"/>
        <w:spacing w:after="0"/>
        <w:rPr>
          <w:rFonts w:cstheme="minorHAnsi"/>
          <w:color w:val="202122"/>
          <w:sz w:val="24"/>
          <w:szCs w:val="24"/>
        </w:rPr>
      </w:pPr>
      <w:r w:rsidRPr="00DA7E88">
        <w:rPr>
          <w:rFonts w:cstheme="minorHAnsi"/>
          <w:color w:val="202122"/>
          <w:sz w:val="24"/>
          <w:szCs w:val="24"/>
        </w:rPr>
        <w:t xml:space="preserve">The year-long campaign seeks to </w:t>
      </w:r>
      <w:r w:rsidR="00DD1B72" w:rsidRPr="00DD1B72">
        <w:rPr>
          <w:rFonts w:cstheme="minorHAnsi"/>
          <w:color w:val="202122"/>
          <w:sz w:val="24"/>
          <w:szCs w:val="24"/>
        </w:rPr>
        <w:t>increase</w:t>
      </w:r>
      <w:r w:rsidRPr="00DA7E88">
        <w:rPr>
          <w:rFonts w:cstheme="minorHAnsi"/>
          <w:color w:val="202122"/>
          <w:sz w:val="24"/>
          <w:szCs w:val="24"/>
        </w:rPr>
        <w:t xml:space="preserve"> </w:t>
      </w:r>
      <w:r w:rsidR="00DD1B72" w:rsidRPr="00DD1B72">
        <w:rPr>
          <w:rFonts w:cstheme="minorHAnsi"/>
          <w:color w:val="202122"/>
          <w:sz w:val="24"/>
          <w:szCs w:val="24"/>
        </w:rPr>
        <w:t>u</w:t>
      </w:r>
      <w:r w:rsidRPr="00DA7E88">
        <w:rPr>
          <w:rFonts w:cstheme="minorHAnsi"/>
          <w:color w:val="202122"/>
          <w:sz w:val="24"/>
          <w:szCs w:val="24"/>
        </w:rPr>
        <w:t>nderstanding and action towards greater knowledge of the universality of the UDHR and the activism associated with it.</w:t>
      </w:r>
    </w:p>
    <w:p w14:paraId="46B91C35" w14:textId="1F66D35C" w:rsidR="00DF5206" w:rsidRPr="00DD1B72" w:rsidRDefault="00DF5206" w:rsidP="00DA7E88">
      <w:pPr>
        <w:pStyle w:val="NormalWeb"/>
        <w:shd w:val="clear" w:color="auto" w:fill="FFFFFF"/>
        <w:spacing w:before="120" w:beforeAutospacing="0" w:after="120" w:afterAutospacing="0"/>
        <w:rPr>
          <w:rFonts w:asciiTheme="minorHAnsi" w:hAnsiTheme="minorHAnsi" w:cstheme="minorHAnsi"/>
          <w:color w:val="202122"/>
        </w:rPr>
      </w:pPr>
      <w:r w:rsidRPr="00DD1B72">
        <w:rPr>
          <w:rFonts w:asciiTheme="minorHAnsi" w:hAnsiTheme="minorHAnsi" w:cstheme="minorHAnsi"/>
          <w:color w:val="202122"/>
        </w:rPr>
        <w:t xml:space="preserve">The day </w:t>
      </w:r>
      <w:r w:rsidR="00DD1B72">
        <w:rPr>
          <w:rFonts w:asciiTheme="minorHAnsi" w:hAnsiTheme="minorHAnsi" w:cstheme="minorHAnsi"/>
          <w:color w:val="202122"/>
        </w:rPr>
        <w:t>will be</w:t>
      </w:r>
      <w:r w:rsidRPr="00DD1B72">
        <w:rPr>
          <w:rFonts w:asciiTheme="minorHAnsi" w:hAnsiTheme="minorHAnsi" w:cstheme="minorHAnsi"/>
          <w:color w:val="202122"/>
        </w:rPr>
        <w:t xml:space="preserve"> marked</w:t>
      </w:r>
      <w:r w:rsidR="00DD1B72" w:rsidRPr="00DD1B72">
        <w:rPr>
          <w:rFonts w:asciiTheme="minorHAnsi" w:hAnsiTheme="minorHAnsi" w:cstheme="minorHAnsi"/>
          <w:color w:val="202122"/>
        </w:rPr>
        <w:t xml:space="preserve"> world-wide</w:t>
      </w:r>
      <w:r w:rsidRPr="00DD1B72">
        <w:rPr>
          <w:rFonts w:asciiTheme="minorHAnsi" w:hAnsiTheme="minorHAnsi" w:cstheme="minorHAnsi"/>
          <w:color w:val="202122"/>
        </w:rPr>
        <w:t xml:space="preserve"> both by high-level political conferences and meetings and by cultural events and exhibitions dealing with human rights issues. Many governmental and non-governmental organizations active in the human rights field also schedule special events to commemorate the day, as do many civil and social-cause organisations.</w:t>
      </w:r>
    </w:p>
    <w:p w14:paraId="35E9FB30" w14:textId="77777777" w:rsidR="00DD1B72" w:rsidRDefault="00DD1B72" w:rsidP="005D41EE">
      <w:pPr>
        <w:pStyle w:val="NormalWeb"/>
        <w:shd w:val="clear" w:color="auto" w:fill="FFFFFF"/>
        <w:spacing w:before="120" w:beforeAutospacing="0" w:after="120" w:afterAutospacing="0"/>
        <w:rPr>
          <w:rFonts w:asciiTheme="minorHAnsi" w:hAnsiTheme="minorHAnsi" w:cstheme="minorHAnsi"/>
          <w:color w:val="202122"/>
          <w:u w:val="single"/>
        </w:rPr>
      </w:pPr>
    </w:p>
    <w:p w14:paraId="467BEC27" w14:textId="2F2191FA" w:rsidR="005D41EE" w:rsidRPr="000C0CC8" w:rsidRDefault="005D41EE" w:rsidP="005D41EE">
      <w:pPr>
        <w:pStyle w:val="NormalWeb"/>
        <w:shd w:val="clear" w:color="auto" w:fill="FFFFFF"/>
        <w:spacing w:before="120" w:beforeAutospacing="0" w:after="120" w:afterAutospacing="0"/>
        <w:rPr>
          <w:rFonts w:asciiTheme="minorHAnsi" w:hAnsiTheme="minorHAnsi" w:cstheme="minorHAnsi"/>
          <w:b/>
          <w:bCs/>
          <w:color w:val="202122"/>
          <w:sz w:val="28"/>
          <w:szCs w:val="28"/>
          <w:u w:val="single"/>
        </w:rPr>
      </w:pPr>
      <w:r w:rsidRPr="000C0CC8">
        <w:rPr>
          <w:rFonts w:asciiTheme="minorHAnsi" w:hAnsiTheme="minorHAnsi" w:cstheme="minorHAnsi"/>
          <w:b/>
          <w:bCs/>
          <w:color w:val="202122"/>
          <w:sz w:val="28"/>
          <w:szCs w:val="28"/>
          <w:u w:val="single"/>
        </w:rPr>
        <w:t>What are the 10 basic Human Rights?</w:t>
      </w:r>
    </w:p>
    <w:p w14:paraId="1B1F7846" w14:textId="77777777" w:rsidR="005D41EE" w:rsidRPr="00DD1B72" w:rsidRDefault="005D41EE" w:rsidP="005D41EE">
      <w:pPr>
        <w:rPr>
          <w:rFonts w:asciiTheme="majorHAnsi" w:hAnsiTheme="majorHAnsi" w:cstheme="majorHAnsi"/>
          <w:sz w:val="24"/>
          <w:szCs w:val="24"/>
        </w:rPr>
      </w:pPr>
      <w:r w:rsidRPr="00DD1B72">
        <w:rPr>
          <w:rFonts w:asciiTheme="majorHAnsi" w:hAnsiTheme="majorHAnsi" w:cstheme="majorHAnsi"/>
          <w:b/>
          <w:sz w:val="24"/>
          <w:szCs w:val="24"/>
          <w:u w:val="single"/>
        </w:rPr>
        <w:t>#1.</w:t>
      </w:r>
      <w:r w:rsidRPr="00DD1B72">
        <w:rPr>
          <w:rFonts w:asciiTheme="majorHAnsi" w:hAnsiTheme="majorHAnsi" w:cstheme="majorHAnsi"/>
          <w:sz w:val="24"/>
          <w:szCs w:val="24"/>
        </w:rPr>
        <w:t xml:space="preserve"> The right to life</w:t>
      </w:r>
    </w:p>
    <w:p w14:paraId="2155E2AF" w14:textId="77777777" w:rsidR="005D41EE" w:rsidRPr="00DD1B72" w:rsidRDefault="005D41EE" w:rsidP="005D41EE">
      <w:pPr>
        <w:rPr>
          <w:rFonts w:asciiTheme="majorHAnsi" w:hAnsiTheme="majorHAnsi" w:cstheme="majorHAnsi"/>
          <w:sz w:val="24"/>
          <w:szCs w:val="24"/>
        </w:rPr>
      </w:pPr>
      <w:r w:rsidRPr="00DD1B72">
        <w:rPr>
          <w:rFonts w:asciiTheme="majorHAnsi" w:hAnsiTheme="majorHAnsi" w:cstheme="majorHAnsi"/>
          <w:b/>
          <w:sz w:val="24"/>
          <w:szCs w:val="24"/>
          <w:u w:val="single"/>
        </w:rPr>
        <w:t>#2.</w:t>
      </w:r>
      <w:r w:rsidRPr="00DD1B72">
        <w:rPr>
          <w:rFonts w:asciiTheme="majorHAnsi" w:hAnsiTheme="majorHAnsi" w:cstheme="majorHAnsi"/>
          <w:sz w:val="24"/>
          <w:szCs w:val="24"/>
        </w:rPr>
        <w:t xml:space="preserve"> The right to freedom from torture and inhumane treatment</w:t>
      </w:r>
    </w:p>
    <w:p w14:paraId="76E61176" w14:textId="77777777" w:rsidR="005D41EE" w:rsidRPr="00DD1B72" w:rsidRDefault="005D41EE" w:rsidP="005D41EE">
      <w:pPr>
        <w:rPr>
          <w:rFonts w:asciiTheme="majorHAnsi" w:hAnsiTheme="majorHAnsi" w:cstheme="majorHAnsi"/>
          <w:sz w:val="24"/>
          <w:szCs w:val="24"/>
        </w:rPr>
      </w:pPr>
      <w:r w:rsidRPr="00DD1B72">
        <w:rPr>
          <w:rFonts w:asciiTheme="majorHAnsi" w:hAnsiTheme="majorHAnsi" w:cstheme="majorHAnsi"/>
          <w:b/>
          <w:sz w:val="24"/>
          <w:szCs w:val="24"/>
          <w:u w:val="single"/>
        </w:rPr>
        <w:t>#3.</w:t>
      </w:r>
      <w:r w:rsidRPr="00DD1B72">
        <w:rPr>
          <w:rFonts w:asciiTheme="majorHAnsi" w:hAnsiTheme="majorHAnsi" w:cstheme="majorHAnsi"/>
          <w:sz w:val="24"/>
          <w:szCs w:val="24"/>
        </w:rPr>
        <w:t xml:space="preserve"> The right to equal treatment before the law</w:t>
      </w:r>
    </w:p>
    <w:p w14:paraId="7338DD6A" w14:textId="77777777" w:rsidR="005D41EE" w:rsidRPr="00DD1B72" w:rsidRDefault="004170B0" w:rsidP="005D41EE">
      <w:pPr>
        <w:rPr>
          <w:rFonts w:asciiTheme="majorHAnsi" w:hAnsiTheme="majorHAnsi" w:cstheme="majorHAnsi"/>
          <w:sz w:val="24"/>
          <w:szCs w:val="24"/>
        </w:rPr>
      </w:pPr>
      <w:r w:rsidRPr="00DD1B72">
        <w:rPr>
          <w:rFonts w:asciiTheme="majorHAnsi" w:hAnsiTheme="majorHAnsi" w:cstheme="majorHAnsi"/>
          <w:noProof/>
          <w:sz w:val="24"/>
          <w:szCs w:val="24"/>
          <w:lang w:eastAsia="en-GB"/>
        </w:rPr>
        <w:drawing>
          <wp:anchor distT="0" distB="0" distL="114300" distR="114300" simplePos="0" relativeHeight="251660288" behindDoc="0" locked="0" layoutInCell="1" allowOverlap="1" wp14:anchorId="1C961FE9" wp14:editId="4652E88A">
            <wp:simplePos x="0" y="0"/>
            <wp:positionH relativeFrom="margin">
              <wp:posOffset>3036146</wp:posOffset>
            </wp:positionH>
            <wp:positionV relativeFrom="paragraph">
              <wp:posOffset>10795</wp:posOffset>
            </wp:positionV>
            <wp:extent cx="3070225" cy="2042795"/>
            <wp:effectExtent l="0" t="0" r="0" b="0"/>
            <wp:wrapThrough wrapText="bothSides">
              <wp:wrapPolygon edited="0">
                <wp:start x="0" y="0"/>
                <wp:lineTo x="0" y="21352"/>
                <wp:lineTo x="21444" y="21352"/>
                <wp:lineTo x="21444"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human rights day.jpg"/>
                    <pic:cNvPicPr/>
                  </pic:nvPicPr>
                  <pic:blipFill>
                    <a:blip r:embed="rId6">
                      <a:extLst>
                        <a:ext uri="{28A0092B-C50C-407E-A947-70E740481C1C}">
                          <a14:useLocalDpi xmlns:a14="http://schemas.microsoft.com/office/drawing/2010/main" val="0"/>
                        </a:ext>
                      </a:extLst>
                    </a:blip>
                    <a:stretch>
                      <a:fillRect/>
                    </a:stretch>
                  </pic:blipFill>
                  <pic:spPr>
                    <a:xfrm>
                      <a:off x="0" y="0"/>
                      <a:ext cx="3070225" cy="2042795"/>
                    </a:xfrm>
                    <a:prstGeom prst="rect">
                      <a:avLst/>
                    </a:prstGeom>
                  </pic:spPr>
                </pic:pic>
              </a:graphicData>
            </a:graphic>
            <wp14:sizeRelH relativeFrom="page">
              <wp14:pctWidth>0</wp14:pctWidth>
            </wp14:sizeRelH>
            <wp14:sizeRelV relativeFrom="page">
              <wp14:pctHeight>0</wp14:pctHeight>
            </wp14:sizeRelV>
          </wp:anchor>
        </w:drawing>
      </w:r>
      <w:r w:rsidR="005D41EE" w:rsidRPr="00DD1B72">
        <w:rPr>
          <w:rFonts w:asciiTheme="majorHAnsi" w:hAnsiTheme="majorHAnsi" w:cstheme="majorHAnsi"/>
          <w:b/>
          <w:sz w:val="24"/>
          <w:szCs w:val="24"/>
          <w:u w:val="single"/>
        </w:rPr>
        <w:t>#4.</w:t>
      </w:r>
      <w:r w:rsidR="005D41EE" w:rsidRPr="00DD1B72">
        <w:rPr>
          <w:rFonts w:asciiTheme="majorHAnsi" w:hAnsiTheme="majorHAnsi" w:cstheme="majorHAnsi"/>
          <w:sz w:val="24"/>
          <w:szCs w:val="24"/>
        </w:rPr>
        <w:t xml:space="preserve"> The right to privacy</w:t>
      </w:r>
    </w:p>
    <w:p w14:paraId="67932DF5" w14:textId="77777777" w:rsidR="005D41EE" w:rsidRPr="00DD1B72" w:rsidRDefault="005D41EE" w:rsidP="005D41EE">
      <w:pPr>
        <w:rPr>
          <w:rFonts w:asciiTheme="majorHAnsi" w:hAnsiTheme="majorHAnsi" w:cstheme="majorHAnsi"/>
          <w:sz w:val="24"/>
          <w:szCs w:val="24"/>
        </w:rPr>
      </w:pPr>
      <w:r w:rsidRPr="00DD1B72">
        <w:rPr>
          <w:rFonts w:asciiTheme="majorHAnsi" w:hAnsiTheme="majorHAnsi" w:cstheme="majorHAnsi"/>
          <w:b/>
          <w:sz w:val="24"/>
          <w:szCs w:val="24"/>
          <w:u w:val="single"/>
        </w:rPr>
        <w:t>#5.</w:t>
      </w:r>
      <w:r w:rsidRPr="00DD1B72">
        <w:rPr>
          <w:rFonts w:asciiTheme="majorHAnsi" w:hAnsiTheme="majorHAnsi" w:cstheme="majorHAnsi"/>
          <w:sz w:val="24"/>
          <w:szCs w:val="24"/>
        </w:rPr>
        <w:t xml:space="preserve"> The right to asylum</w:t>
      </w:r>
    </w:p>
    <w:p w14:paraId="1456F2FD" w14:textId="77777777" w:rsidR="005D41EE" w:rsidRPr="00DD1B72" w:rsidRDefault="005D41EE" w:rsidP="005D41EE">
      <w:pPr>
        <w:rPr>
          <w:rFonts w:asciiTheme="majorHAnsi" w:hAnsiTheme="majorHAnsi" w:cstheme="majorHAnsi"/>
          <w:sz w:val="24"/>
          <w:szCs w:val="24"/>
        </w:rPr>
      </w:pPr>
      <w:r w:rsidRPr="00DD1B72">
        <w:rPr>
          <w:rFonts w:asciiTheme="majorHAnsi" w:hAnsiTheme="majorHAnsi" w:cstheme="majorHAnsi"/>
          <w:b/>
          <w:sz w:val="24"/>
          <w:szCs w:val="24"/>
          <w:u w:val="single"/>
        </w:rPr>
        <w:t xml:space="preserve">#6. </w:t>
      </w:r>
      <w:r w:rsidRPr="00DD1B72">
        <w:rPr>
          <w:rFonts w:asciiTheme="majorHAnsi" w:hAnsiTheme="majorHAnsi" w:cstheme="majorHAnsi"/>
          <w:sz w:val="24"/>
          <w:szCs w:val="24"/>
        </w:rPr>
        <w:t>The right to marry and have family</w:t>
      </w:r>
    </w:p>
    <w:p w14:paraId="66B4855C" w14:textId="77777777" w:rsidR="005D41EE" w:rsidRPr="00DD1B72" w:rsidRDefault="005D41EE" w:rsidP="005D41EE">
      <w:pPr>
        <w:rPr>
          <w:rFonts w:asciiTheme="majorHAnsi" w:hAnsiTheme="majorHAnsi" w:cstheme="majorHAnsi"/>
          <w:sz w:val="24"/>
          <w:szCs w:val="24"/>
        </w:rPr>
      </w:pPr>
      <w:r w:rsidRPr="00DD1B72">
        <w:rPr>
          <w:rFonts w:asciiTheme="majorHAnsi" w:hAnsiTheme="majorHAnsi" w:cstheme="majorHAnsi"/>
          <w:b/>
          <w:sz w:val="24"/>
          <w:szCs w:val="24"/>
          <w:u w:val="single"/>
        </w:rPr>
        <w:t>#7.</w:t>
      </w:r>
      <w:r w:rsidRPr="00DD1B72">
        <w:rPr>
          <w:rFonts w:asciiTheme="majorHAnsi" w:hAnsiTheme="majorHAnsi" w:cstheme="majorHAnsi"/>
          <w:sz w:val="24"/>
          <w:szCs w:val="24"/>
        </w:rPr>
        <w:t xml:space="preserve"> The right to freedom of thought, religion, opinion, and expression</w:t>
      </w:r>
    </w:p>
    <w:p w14:paraId="366D1621" w14:textId="77777777" w:rsidR="005D41EE" w:rsidRPr="00DD1B72" w:rsidRDefault="005D41EE" w:rsidP="005D41EE">
      <w:pPr>
        <w:rPr>
          <w:rFonts w:asciiTheme="majorHAnsi" w:hAnsiTheme="majorHAnsi" w:cstheme="majorHAnsi"/>
          <w:sz w:val="24"/>
          <w:szCs w:val="24"/>
        </w:rPr>
      </w:pPr>
      <w:r w:rsidRPr="00DD1B72">
        <w:rPr>
          <w:rFonts w:asciiTheme="majorHAnsi" w:hAnsiTheme="majorHAnsi" w:cstheme="majorHAnsi"/>
          <w:b/>
          <w:sz w:val="24"/>
          <w:szCs w:val="24"/>
          <w:u w:val="single"/>
        </w:rPr>
        <w:t>#8.</w:t>
      </w:r>
      <w:r w:rsidRPr="00DD1B72">
        <w:rPr>
          <w:rFonts w:asciiTheme="majorHAnsi" w:hAnsiTheme="majorHAnsi" w:cstheme="majorHAnsi"/>
          <w:sz w:val="24"/>
          <w:szCs w:val="24"/>
        </w:rPr>
        <w:t xml:space="preserve"> The right to work</w:t>
      </w:r>
    </w:p>
    <w:p w14:paraId="11F6C58F" w14:textId="77777777" w:rsidR="005D41EE" w:rsidRPr="00DD1B72" w:rsidRDefault="005D41EE" w:rsidP="005D41EE">
      <w:pPr>
        <w:rPr>
          <w:rFonts w:asciiTheme="majorHAnsi" w:hAnsiTheme="majorHAnsi" w:cstheme="majorHAnsi"/>
          <w:sz w:val="24"/>
          <w:szCs w:val="24"/>
        </w:rPr>
      </w:pPr>
      <w:r w:rsidRPr="00DD1B72">
        <w:rPr>
          <w:rFonts w:asciiTheme="majorHAnsi" w:hAnsiTheme="majorHAnsi" w:cstheme="majorHAnsi"/>
          <w:b/>
          <w:sz w:val="24"/>
          <w:szCs w:val="24"/>
          <w:u w:val="single"/>
        </w:rPr>
        <w:t>#9.</w:t>
      </w:r>
      <w:r w:rsidRPr="00DD1B72">
        <w:rPr>
          <w:rFonts w:asciiTheme="majorHAnsi" w:hAnsiTheme="majorHAnsi" w:cstheme="majorHAnsi"/>
          <w:sz w:val="24"/>
          <w:szCs w:val="24"/>
        </w:rPr>
        <w:t xml:space="preserve"> The right to education</w:t>
      </w:r>
    </w:p>
    <w:p w14:paraId="4305C30F" w14:textId="77777777" w:rsidR="005D41EE" w:rsidRPr="00DD1B72" w:rsidRDefault="005D41EE" w:rsidP="005D41EE">
      <w:pPr>
        <w:rPr>
          <w:rFonts w:asciiTheme="majorHAnsi" w:hAnsiTheme="majorHAnsi" w:cstheme="majorHAnsi"/>
          <w:sz w:val="24"/>
          <w:szCs w:val="24"/>
        </w:rPr>
      </w:pPr>
      <w:r w:rsidRPr="00DD1B72">
        <w:rPr>
          <w:rFonts w:asciiTheme="majorHAnsi" w:hAnsiTheme="majorHAnsi" w:cstheme="majorHAnsi"/>
          <w:b/>
          <w:sz w:val="24"/>
          <w:szCs w:val="24"/>
          <w:u w:val="single"/>
        </w:rPr>
        <w:t xml:space="preserve">#10. </w:t>
      </w:r>
      <w:r w:rsidRPr="00DD1B72">
        <w:rPr>
          <w:rFonts w:asciiTheme="majorHAnsi" w:hAnsiTheme="majorHAnsi" w:cstheme="majorHAnsi"/>
          <w:sz w:val="24"/>
          <w:szCs w:val="24"/>
        </w:rPr>
        <w:t>The right to social services</w:t>
      </w:r>
    </w:p>
    <w:p w14:paraId="4F18F48F" w14:textId="77777777" w:rsidR="005D41EE" w:rsidRPr="00DD1B72" w:rsidRDefault="005D41EE" w:rsidP="005D41EE">
      <w:pPr>
        <w:rPr>
          <w:rFonts w:asciiTheme="majorHAnsi" w:hAnsiTheme="majorHAnsi" w:cstheme="majorHAnsi"/>
          <w:sz w:val="24"/>
          <w:szCs w:val="24"/>
        </w:rPr>
      </w:pPr>
    </w:p>
    <w:p w14:paraId="0B6AF130" w14:textId="77777777" w:rsidR="005D41EE" w:rsidRPr="000C0CC8" w:rsidRDefault="005D41EE" w:rsidP="005D41EE">
      <w:pPr>
        <w:rPr>
          <w:rFonts w:asciiTheme="majorHAnsi" w:hAnsiTheme="majorHAnsi" w:cstheme="majorHAnsi"/>
          <w:b/>
          <w:bCs/>
          <w:sz w:val="28"/>
          <w:szCs w:val="28"/>
          <w:u w:val="single"/>
        </w:rPr>
      </w:pPr>
      <w:r w:rsidRPr="000C0CC8">
        <w:rPr>
          <w:rFonts w:asciiTheme="majorHAnsi" w:hAnsiTheme="majorHAnsi" w:cstheme="majorHAnsi"/>
          <w:b/>
          <w:bCs/>
          <w:sz w:val="28"/>
          <w:szCs w:val="28"/>
          <w:u w:val="single"/>
        </w:rPr>
        <w:t>How can we protect our human rights?</w:t>
      </w:r>
    </w:p>
    <w:p w14:paraId="20B36CBF" w14:textId="46C732CF" w:rsidR="005D41EE" w:rsidRDefault="005D41EE" w:rsidP="005D41EE">
      <w:pPr>
        <w:rPr>
          <w:rFonts w:asciiTheme="majorHAnsi" w:hAnsiTheme="majorHAnsi" w:cstheme="majorHAnsi"/>
          <w:sz w:val="28"/>
          <w:szCs w:val="28"/>
        </w:rPr>
      </w:pPr>
      <w:r w:rsidRPr="00DD1B72">
        <w:rPr>
          <w:rFonts w:asciiTheme="majorHAnsi" w:hAnsiTheme="majorHAnsi" w:cstheme="majorHAnsi"/>
          <w:sz w:val="24"/>
          <w:szCs w:val="24"/>
        </w:rPr>
        <w:t xml:space="preserve">Human rights are needed to protect and preserve every individual humanity, to ensure that every individual can live a life of dignity </w:t>
      </w:r>
      <w:r>
        <w:rPr>
          <w:rFonts w:asciiTheme="majorHAnsi" w:hAnsiTheme="majorHAnsi" w:cstheme="majorHAnsi"/>
          <w:sz w:val="28"/>
          <w:szCs w:val="28"/>
        </w:rPr>
        <w:t xml:space="preserve">and a life that is worthy of a human being. </w:t>
      </w:r>
      <w:proofErr w:type="gramStart"/>
      <w:r>
        <w:rPr>
          <w:rFonts w:asciiTheme="majorHAnsi" w:hAnsiTheme="majorHAnsi" w:cstheme="majorHAnsi"/>
          <w:sz w:val="28"/>
          <w:szCs w:val="28"/>
        </w:rPr>
        <w:t>So</w:t>
      </w:r>
      <w:proofErr w:type="gramEnd"/>
      <w:r>
        <w:rPr>
          <w:rFonts w:asciiTheme="majorHAnsi" w:hAnsiTheme="majorHAnsi" w:cstheme="majorHAnsi"/>
          <w:sz w:val="28"/>
          <w:szCs w:val="28"/>
        </w:rPr>
        <w:t xml:space="preserve"> </w:t>
      </w:r>
      <w:r w:rsidR="004170B0">
        <w:rPr>
          <w:rFonts w:asciiTheme="majorHAnsi" w:hAnsiTheme="majorHAnsi" w:cstheme="majorHAnsi"/>
          <w:sz w:val="28"/>
          <w:szCs w:val="28"/>
        </w:rPr>
        <w:t xml:space="preserve">speak up for what you care about, listen to others stories and stand up against discrimination. </w:t>
      </w:r>
    </w:p>
    <w:p w14:paraId="62F5067D" w14:textId="77777777" w:rsidR="00DD1B72" w:rsidRDefault="00DD1B72" w:rsidP="005D41EE">
      <w:pPr>
        <w:rPr>
          <w:rFonts w:asciiTheme="majorHAnsi" w:hAnsiTheme="majorHAnsi" w:cstheme="majorHAnsi"/>
          <w:sz w:val="28"/>
          <w:szCs w:val="28"/>
        </w:rPr>
      </w:pPr>
    </w:p>
    <w:p w14:paraId="1E5F989B" w14:textId="77777777" w:rsidR="005D41EE" w:rsidRPr="00DA7E88" w:rsidRDefault="004170B0" w:rsidP="009C510B">
      <w:pPr>
        <w:jc w:val="center"/>
        <w:rPr>
          <w:rFonts w:asciiTheme="majorHAnsi" w:hAnsiTheme="majorHAnsi" w:cstheme="majorHAnsi"/>
          <w:color w:val="0070C0"/>
          <w:sz w:val="28"/>
          <w:szCs w:val="28"/>
        </w:rPr>
      </w:pPr>
      <w:r w:rsidRPr="00DA7E88">
        <w:rPr>
          <w:rFonts w:asciiTheme="majorHAnsi" w:hAnsiTheme="majorHAnsi" w:cstheme="majorHAnsi"/>
          <w:color w:val="0070C0"/>
          <w:sz w:val="28"/>
          <w:szCs w:val="28"/>
        </w:rPr>
        <w:t>“Stand and fight together for human rights. Celebrate human rights day every day. Your rights give you a voice; don’t waste it, utilize it. Raise your voice and take what is rightfully yours.”</w:t>
      </w:r>
    </w:p>
    <w:p w14:paraId="3B00F772" w14:textId="77777777" w:rsidR="00DD1B72" w:rsidRDefault="00DD1B72" w:rsidP="009C510B">
      <w:pPr>
        <w:jc w:val="center"/>
        <w:rPr>
          <w:rFonts w:asciiTheme="majorHAnsi" w:hAnsiTheme="majorHAnsi" w:cstheme="majorHAnsi"/>
          <w:sz w:val="28"/>
          <w:szCs w:val="28"/>
        </w:rPr>
      </w:pPr>
    </w:p>
    <w:p w14:paraId="546E3525" w14:textId="6D06DAB3" w:rsidR="009C510B" w:rsidRPr="009C510B" w:rsidRDefault="009C510B" w:rsidP="009C510B">
      <w:pPr>
        <w:jc w:val="center"/>
        <w:rPr>
          <w:rFonts w:asciiTheme="majorHAnsi" w:hAnsiTheme="majorHAnsi" w:cstheme="majorHAnsi"/>
          <w:sz w:val="28"/>
          <w:szCs w:val="28"/>
        </w:rPr>
      </w:pPr>
      <w:r w:rsidRPr="009C510B">
        <w:rPr>
          <w:rFonts w:asciiTheme="majorHAnsi" w:hAnsiTheme="majorHAnsi" w:cstheme="majorHAnsi"/>
          <w:sz w:val="28"/>
          <w:szCs w:val="28"/>
        </w:rPr>
        <w:t>Contact</w:t>
      </w:r>
      <w:r>
        <w:rPr>
          <w:rFonts w:asciiTheme="majorHAnsi" w:hAnsiTheme="majorHAnsi" w:cstheme="majorHAnsi"/>
          <w:sz w:val="28"/>
          <w:szCs w:val="28"/>
        </w:rPr>
        <w:t xml:space="preserve"> no: human rights – 22133 </w:t>
      </w:r>
    </w:p>
    <w:sectPr w:rsidR="009C510B" w:rsidRPr="009C510B" w:rsidSect="009C510B">
      <w:pgSz w:w="11906" w:h="16838"/>
      <w:pgMar w:top="1440" w:right="1440" w:bottom="1440" w:left="1440" w:header="708" w:footer="708" w:gutter="0"/>
      <w:pgBorders w:offsetFrom="page">
        <w:top w:val="single" w:sz="48" w:space="24" w:color="21C4ED" w:themeColor="background2" w:themeShade="BF"/>
        <w:left w:val="single" w:sz="48" w:space="24" w:color="21C4ED" w:themeColor="background2" w:themeShade="BF"/>
        <w:bottom w:val="single" w:sz="48" w:space="24" w:color="21C4ED" w:themeColor="background2" w:themeShade="BF"/>
        <w:right w:val="single" w:sz="48" w:space="24" w:color="21C4ED" w:themeColor="background2" w:themeShade="BF"/>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Blackadder ITC">
    <w:panose1 w:val="04020505051007020D02"/>
    <w:charset w:val="00"/>
    <w:family w:val="decorative"/>
    <w:pitch w:val="variable"/>
    <w:sig w:usb0="00000003" w:usb1="00000000" w:usb2="00000000" w:usb3="00000000" w:csb0="00000001" w:csb1="00000000"/>
  </w:font>
  <w:font w:name="Bahnschrift SemiBold Condensed">
    <w:panose1 w:val="020B0502040204020203"/>
    <w:charset w:val="00"/>
    <w:family w:val="swiss"/>
    <w:pitch w:val="variable"/>
    <w:sig w:usb0="A00002C7" w:usb1="00000002"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28AA"/>
    <w:rsid w:val="00003795"/>
    <w:rsid w:val="000C0CC8"/>
    <w:rsid w:val="001C4537"/>
    <w:rsid w:val="002448E2"/>
    <w:rsid w:val="004170B0"/>
    <w:rsid w:val="005D41EE"/>
    <w:rsid w:val="005F504F"/>
    <w:rsid w:val="006A7B6C"/>
    <w:rsid w:val="007C28AA"/>
    <w:rsid w:val="0093671B"/>
    <w:rsid w:val="009C510B"/>
    <w:rsid w:val="00DA7E88"/>
    <w:rsid w:val="00DD1B72"/>
    <w:rsid w:val="00DF5206"/>
    <w:rsid w:val="00FB7834"/>
    <w:rsid w:val="00FE3C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72463"/>
  <w15:chartTrackingRefBased/>
  <w15:docId w15:val="{6764AAA6-5886-474E-958D-C33BD51DC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F520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DF5206"/>
    <w:rPr>
      <w:color w:val="0000FF"/>
      <w:u w:val="single"/>
    </w:rPr>
  </w:style>
  <w:style w:type="character" w:styleId="UnresolvedMention">
    <w:name w:val="Unresolved Mention"/>
    <w:basedOn w:val="DefaultParagraphFont"/>
    <w:uiPriority w:val="99"/>
    <w:semiHidden/>
    <w:unhideWhenUsed/>
    <w:rsid w:val="00DA7E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5198162">
      <w:bodyDiv w:val="1"/>
      <w:marLeft w:val="0"/>
      <w:marRight w:val="0"/>
      <w:marTop w:val="0"/>
      <w:marBottom w:val="0"/>
      <w:divBdr>
        <w:top w:val="none" w:sz="0" w:space="0" w:color="auto"/>
        <w:left w:val="none" w:sz="0" w:space="0" w:color="auto"/>
        <w:bottom w:val="none" w:sz="0" w:space="0" w:color="auto"/>
        <w:right w:val="none" w:sz="0" w:space="0" w:color="auto"/>
      </w:divBdr>
    </w:div>
    <w:div w:id="538011637">
      <w:bodyDiv w:val="1"/>
      <w:marLeft w:val="0"/>
      <w:marRight w:val="0"/>
      <w:marTop w:val="0"/>
      <w:marBottom w:val="0"/>
      <w:divBdr>
        <w:top w:val="none" w:sz="0" w:space="0" w:color="auto"/>
        <w:left w:val="none" w:sz="0" w:space="0" w:color="auto"/>
        <w:bottom w:val="none" w:sz="0" w:space="0" w:color="auto"/>
        <w:right w:val="none" w:sz="0" w:space="0" w:color="auto"/>
      </w:divBdr>
    </w:div>
    <w:div w:id="1470704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5" Type="http://schemas.openxmlformats.org/officeDocument/2006/relationships/image" Target="media/image2.jpg"/><Relationship Id="rId4" Type="http://schemas.openxmlformats.org/officeDocument/2006/relationships/image" Target="media/image1.png"/></Relationships>
</file>

<file path=word/theme/theme1.xml><?xml version="1.0" encoding="utf-8"?>
<a:theme xmlns:a="http://schemas.openxmlformats.org/drawingml/2006/main" name="Slice">
  <a:themeElements>
    <a:clrScheme name="Slice">
      <a:dk1>
        <a:sysClr val="windowText" lastClr="000000"/>
      </a:dk1>
      <a:lt1>
        <a:sysClr val="window" lastClr="FFFFFF"/>
      </a:lt1>
      <a:dk2>
        <a:srgbClr val="146194"/>
      </a:dk2>
      <a:lt2>
        <a:srgbClr val="76DBF4"/>
      </a:lt2>
      <a:accent1>
        <a:srgbClr val="052F61"/>
      </a:accent1>
      <a:accent2>
        <a:srgbClr val="A50E82"/>
      </a:accent2>
      <a:accent3>
        <a:srgbClr val="14967C"/>
      </a:accent3>
      <a:accent4>
        <a:srgbClr val="6A9E1F"/>
      </a:accent4>
      <a:accent5>
        <a:srgbClr val="E87D37"/>
      </a:accent5>
      <a:accent6>
        <a:srgbClr val="C62324"/>
      </a:accent6>
      <a:hlink>
        <a:srgbClr val="0D2E46"/>
      </a:hlink>
      <a:folHlink>
        <a:srgbClr val="356A95"/>
      </a:folHlink>
    </a:clrScheme>
    <a:fontScheme name="Slice">
      <a:majorFont>
        <a:latin typeface="Century Gothic" panose="020B0502020202020204"/>
        <a:ea typeface=""/>
        <a:cs typeface=""/>
        <a:font script="Jpan" typeface="メイリオ"/>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panose="020B0502020202020204"/>
        <a:ea typeface=""/>
        <a:cs typeface=""/>
        <a:font script="Jpan" typeface="メイリオ"/>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Slice">
      <a:fillStyleLst>
        <a:solidFill>
          <a:schemeClr val="phClr"/>
        </a:solidFill>
        <a:gradFill rotWithShape="1">
          <a:gsLst>
            <a:gs pos="0">
              <a:schemeClr val="phClr">
                <a:tint val="62000"/>
                <a:hueMod val="94000"/>
                <a:satMod val="140000"/>
                <a:lumMod val="110000"/>
              </a:schemeClr>
            </a:gs>
            <a:gs pos="100000">
              <a:schemeClr val="phClr">
                <a:tint val="84000"/>
                <a:satMod val="160000"/>
              </a:schemeClr>
            </a:gs>
          </a:gsLst>
          <a:lin ang="5400000" scaled="0"/>
        </a:gradFill>
        <a:gradFill rotWithShape="1">
          <a:gsLst>
            <a:gs pos="0">
              <a:schemeClr val="phClr">
                <a:tint val="98000"/>
                <a:hueMod val="94000"/>
                <a:satMod val="130000"/>
                <a:lumMod val="128000"/>
              </a:schemeClr>
            </a:gs>
            <a:gs pos="100000">
              <a:schemeClr val="phClr">
                <a:shade val="94000"/>
                <a:lumMod val="88000"/>
              </a:schemeClr>
            </a:gs>
          </a:gsLst>
          <a:lin ang="5400000" scaled="0"/>
        </a:gradFill>
      </a:fillStyleLst>
      <a:lnStyleLst>
        <a:ln w="9525" cap="rnd" cmpd="sng" algn="ctr">
          <a:solidFill>
            <a:schemeClr val="phClr">
              <a:tint val="76000"/>
              <a:alpha val="60000"/>
              <a:hueMod val="94000"/>
            </a:schemeClr>
          </a:solidFill>
          <a:prstDash val="solid"/>
        </a:ln>
        <a:ln w="15875" cap="rnd" cmpd="sng" algn="ctr">
          <a:solidFill>
            <a:schemeClr val="phClr">
              <a:hueMod val="94000"/>
            </a:schemeClr>
          </a:solidFill>
          <a:prstDash val="solid"/>
        </a:ln>
        <a:ln w="28575" cap="rnd" cmpd="sng" algn="ctr">
          <a:solidFill>
            <a:schemeClr val="phClr"/>
          </a:solidFill>
          <a:prstDash val="solid"/>
        </a:ln>
      </a:lnStyleLst>
      <a:effectStyleLst>
        <a:effectStyle>
          <a:effectLst/>
        </a:effectStyle>
        <a:effectStyle>
          <a:effectLst>
            <a:innerShdw blurRad="25400" dist="12700" dir="13500000">
              <a:srgbClr val="000000">
                <a:alpha val="45000"/>
              </a:srgbClr>
            </a:innerShdw>
          </a:effectLst>
        </a:effectStyle>
        <a:effectStyle>
          <a:effectLst>
            <a:outerShdw blurRad="50800" dist="38100" dir="5400000" rotWithShape="0">
              <a:srgbClr val="000000">
                <a:alpha val="46000"/>
              </a:srgbClr>
            </a:outerShdw>
          </a:effectLst>
          <a:scene3d>
            <a:camera prst="orthographicFront">
              <a:rot lat="0" lon="0" rev="0"/>
            </a:camera>
            <a:lightRig rig="threePt" dir="t"/>
          </a:scene3d>
          <a:sp3d prstMaterial="plastic">
            <a:bevelT w="25400" h="25400"/>
          </a:sp3d>
        </a:effectStyle>
      </a:effectStyleLst>
      <a:bgFillStyleLst>
        <a:solidFill>
          <a:schemeClr val="phClr"/>
        </a:solidFill>
        <a:gradFill rotWithShape="1">
          <a:gsLst>
            <a:gs pos="10000">
              <a:schemeClr val="phClr">
                <a:tint val="97000"/>
                <a:hueMod val="92000"/>
                <a:satMod val="169000"/>
                <a:lumMod val="164000"/>
              </a:schemeClr>
            </a:gs>
            <a:gs pos="100000">
              <a:schemeClr val="phClr">
                <a:shade val="96000"/>
                <a:satMod val="120000"/>
                <a:lumMod val="90000"/>
              </a:schemeClr>
            </a:gs>
          </a:gsLst>
          <a:lin ang="6120000" scaled="1"/>
        </a:gradFill>
        <a:gradFill rotWithShape="1">
          <a:gsLst>
            <a:gs pos="0">
              <a:schemeClr val="phClr">
                <a:tint val="97000"/>
                <a:hueMod val="92000"/>
                <a:satMod val="169000"/>
                <a:lumMod val="164000"/>
              </a:schemeClr>
            </a:gs>
            <a:gs pos="100000">
              <a:schemeClr val="phClr">
                <a:shade val="96000"/>
                <a:satMod val="120000"/>
                <a:lumMod val="90000"/>
              </a:schemeClr>
            </a:gs>
          </a:gsLst>
          <a:path path="circle">
            <a:fillToRect b="100000"/>
          </a:path>
        </a:gradFill>
      </a:bgFillStyleLst>
    </a:fmtScheme>
  </a:themeElements>
  <a:objectDefaults/>
  <a:extraClrSchemeLst/>
  <a:extLst>
    <a:ext uri="{05A4C25C-085E-4340-85A3-A5531E510DB2}">
      <thm15:themeFamily xmlns:thm15="http://schemas.microsoft.com/office/thememl/2012/main" name="Slice" id="{0507925B-6AC9-4358-8E18-C330545D08F8}" vid="{13FEC7C6-62A9-40C4-99D2-581AACACAA2F}"/>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450</Words>
  <Characters>2566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Turner</dc:creator>
  <cp:keywords/>
  <dc:description/>
  <cp:lastModifiedBy>Catherine Turner</cp:lastModifiedBy>
  <cp:revision>4</cp:revision>
  <dcterms:created xsi:type="dcterms:W3CDTF">2022-12-06T12:35:00Z</dcterms:created>
  <dcterms:modified xsi:type="dcterms:W3CDTF">2022-12-06T12:36:00Z</dcterms:modified>
</cp:coreProperties>
</file>